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color w:val="auto"/>
          <w:sz w:val="30"/>
          <w:szCs w:val="30"/>
        </w:rPr>
      </w:pPr>
      <w:r>
        <w:rPr>
          <w:rFonts w:hint="eastAsia" w:ascii="仿宋" w:hAnsi="仿宋" w:eastAsia="仿宋" w:cs="仿宋"/>
          <w:color w:val="auto"/>
          <w:sz w:val="30"/>
          <w:szCs w:val="30"/>
        </w:rPr>
        <w:t>附件2：</w:t>
      </w:r>
    </w:p>
    <w:p>
      <w:pPr>
        <w:spacing w:line="440" w:lineRule="exact"/>
        <w:rPr>
          <w:rFonts w:hint="eastAsia" w:ascii="仿宋" w:hAnsi="仿宋" w:eastAsia="仿宋" w:cs="仿宋"/>
          <w:color w:val="auto"/>
          <w:sz w:val="30"/>
          <w:szCs w:val="30"/>
        </w:rPr>
      </w:pPr>
    </w:p>
    <w:p>
      <w:pPr>
        <w:spacing w:line="440" w:lineRule="exact"/>
        <w:rPr>
          <w:rFonts w:hint="eastAsia" w:ascii="仿宋" w:hAnsi="仿宋" w:eastAsia="仿宋" w:cs="仿宋"/>
          <w:color w:val="auto"/>
          <w:sz w:val="30"/>
          <w:szCs w:val="30"/>
        </w:rPr>
      </w:pPr>
      <w:r>
        <w:rPr>
          <w:rFonts w:hint="eastAsia" w:ascii="仿宋" w:hAnsi="仿宋" w:eastAsia="仿宋" w:cs="仿宋"/>
          <w:color w:val="auto"/>
          <w:sz w:val="30"/>
          <w:szCs w:val="30"/>
        </w:rPr>
        <w:t>宿城区2018年度拟遴选第二类疫苗目录：</w:t>
      </w:r>
    </w:p>
    <w:p>
      <w:pPr>
        <w:spacing w:line="4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根据各接种单位上报的接种需求信息及我区对传染病预防控制的需要，对以下第二类疫苗遴选，本次只确定疫苗品种和供应企业，不确定采购数量。</w:t>
      </w:r>
    </w:p>
    <w:p>
      <w:pPr>
        <w:widowControl/>
        <w:jc w:val="center"/>
        <w:rPr>
          <w:rFonts w:ascii="方正黑体_GBK" w:hAnsi="仿宋"/>
          <w:color w:val="auto"/>
          <w:sz w:val="40"/>
          <w:szCs w:val="40"/>
        </w:rPr>
      </w:pPr>
      <w:r>
        <w:rPr>
          <w:rFonts w:hint="eastAsia" w:ascii="方正黑体_GBK" w:hAnsi="方正黑体_GBK"/>
          <w:color w:val="auto"/>
          <w:sz w:val="40"/>
          <w:szCs w:val="40"/>
        </w:rPr>
        <w:t>宿迁市宿城区</w:t>
      </w:r>
      <w:r>
        <w:rPr>
          <w:rFonts w:ascii="方正黑体_GBK" w:hAnsi="方正黑体_GBK"/>
          <w:color w:val="auto"/>
          <w:sz w:val="40"/>
          <w:szCs w:val="40"/>
        </w:rPr>
        <w:t>第二类疫苗采购目录</w:t>
      </w:r>
    </w:p>
    <w:p>
      <w:pPr>
        <w:widowControl/>
        <w:jc w:val="center"/>
        <w:rPr>
          <w:rFonts w:ascii="方正黑体_GBK" w:hAnsi="仿宋"/>
          <w:color w:val="auto"/>
          <w:sz w:val="40"/>
          <w:szCs w:val="40"/>
        </w:rPr>
      </w:pPr>
    </w:p>
    <w:tbl>
      <w:tblPr>
        <w:tblStyle w:val="3"/>
        <w:tblW w:w="8660" w:type="dxa"/>
        <w:tblInd w:w="0" w:type="dxa"/>
        <w:tblLayout w:type="fixed"/>
        <w:tblCellMar>
          <w:top w:w="0" w:type="dxa"/>
          <w:left w:w="108" w:type="dxa"/>
          <w:bottom w:w="0" w:type="dxa"/>
          <w:right w:w="108" w:type="dxa"/>
        </w:tblCellMar>
      </w:tblPr>
      <w:tblGrid>
        <w:gridCol w:w="1111"/>
        <w:gridCol w:w="2683"/>
        <w:gridCol w:w="927"/>
        <w:gridCol w:w="1199"/>
        <w:gridCol w:w="1204"/>
        <w:gridCol w:w="1536"/>
      </w:tblGrid>
      <w:tr>
        <w:tblPrEx>
          <w:tblLayout w:type="fixed"/>
          <w:tblCellMar>
            <w:top w:w="0" w:type="dxa"/>
            <w:left w:w="108" w:type="dxa"/>
            <w:bottom w:w="0" w:type="dxa"/>
            <w:right w:w="108" w:type="dxa"/>
          </w:tblCellMar>
        </w:tblPrEx>
        <w:trPr>
          <w:trHeight w:val="285" w:hRule="atLeast"/>
        </w:trPr>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黑体_GBK" w:hAnsi="宋体"/>
                <w:color w:val="auto"/>
                <w:kern w:val="0"/>
                <w:sz w:val="28"/>
                <w:szCs w:val="28"/>
              </w:rPr>
            </w:pPr>
            <w:r>
              <w:rPr>
                <w:rFonts w:ascii="方正黑体_GBK" w:hAnsi="宋体"/>
                <w:color w:val="auto"/>
                <w:kern w:val="0"/>
                <w:sz w:val="28"/>
                <w:szCs w:val="28"/>
              </w:rPr>
              <w:t>序号</w:t>
            </w:r>
          </w:p>
        </w:tc>
        <w:tc>
          <w:tcPr>
            <w:tcW w:w="2683" w:type="dxa"/>
            <w:tcBorders>
              <w:top w:val="single" w:color="auto" w:sz="4" w:space="0"/>
              <w:left w:val="nil"/>
              <w:bottom w:val="single" w:color="auto" w:sz="4" w:space="0"/>
              <w:right w:val="nil"/>
            </w:tcBorders>
            <w:vAlign w:val="center"/>
          </w:tcPr>
          <w:p>
            <w:pPr>
              <w:widowControl/>
              <w:spacing w:line="360" w:lineRule="exact"/>
              <w:jc w:val="center"/>
              <w:rPr>
                <w:rFonts w:ascii="方正黑体_GBK" w:hAnsi="宋体"/>
                <w:color w:val="auto"/>
                <w:kern w:val="0"/>
                <w:sz w:val="28"/>
                <w:szCs w:val="28"/>
              </w:rPr>
            </w:pPr>
            <w:r>
              <w:rPr>
                <w:rFonts w:ascii="方正黑体_GBK" w:hAnsi="宋体"/>
                <w:color w:val="auto"/>
                <w:kern w:val="0"/>
                <w:sz w:val="28"/>
                <w:szCs w:val="28"/>
              </w:rPr>
              <w:t>名</w:t>
            </w:r>
            <w:r>
              <w:rPr>
                <w:rFonts w:hint="eastAsia" w:ascii="方正黑体_GBK" w:hAnsi="宋体"/>
                <w:color w:val="auto"/>
                <w:kern w:val="0"/>
                <w:sz w:val="28"/>
                <w:szCs w:val="28"/>
              </w:rPr>
              <w:t xml:space="preserve"> </w:t>
            </w:r>
            <w:r>
              <w:rPr>
                <w:rFonts w:ascii="方正黑体_GBK" w:hAnsi="宋体"/>
                <w:color w:val="auto"/>
                <w:kern w:val="0"/>
                <w:sz w:val="28"/>
                <w:szCs w:val="28"/>
              </w:rPr>
              <w:t>称</w:t>
            </w:r>
          </w:p>
        </w:tc>
        <w:tc>
          <w:tcPr>
            <w:tcW w:w="927"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ascii="方正黑体_GBK" w:hAnsi="宋体"/>
                <w:color w:val="auto"/>
                <w:kern w:val="0"/>
                <w:sz w:val="28"/>
                <w:szCs w:val="28"/>
              </w:rPr>
            </w:pPr>
            <w:r>
              <w:rPr>
                <w:rFonts w:ascii="方正黑体_GBK" w:hAnsi="宋体"/>
                <w:color w:val="auto"/>
                <w:kern w:val="0"/>
                <w:sz w:val="28"/>
                <w:szCs w:val="28"/>
              </w:rPr>
              <w:t>剂型</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黑体_GBK" w:hAnsi="宋体"/>
                <w:color w:val="auto"/>
                <w:kern w:val="0"/>
                <w:sz w:val="28"/>
                <w:szCs w:val="28"/>
              </w:rPr>
            </w:pPr>
            <w:r>
              <w:rPr>
                <w:rFonts w:ascii="方正黑体_GBK" w:hAnsi="宋体"/>
                <w:color w:val="auto"/>
                <w:kern w:val="0"/>
                <w:sz w:val="28"/>
                <w:szCs w:val="28"/>
              </w:rPr>
              <w:t>规格</w:t>
            </w:r>
          </w:p>
        </w:tc>
        <w:tc>
          <w:tcPr>
            <w:tcW w:w="120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方正黑体_GBK" w:hAnsi="宋体"/>
                <w:color w:val="auto"/>
                <w:kern w:val="0"/>
                <w:sz w:val="28"/>
                <w:szCs w:val="28"/>
              </w:rPr>
            </w:pPr>
            <w:r>
              <w:rPr>
                <w:rFonts w:ascii="方正黑体_GBK" w:hAnsi="宋体"/>
                <w:color w:val="auto"/>
                <w:kern w:val="0"/>
                <w:sz w:val="28"/>
                <w:szCs w:val="28"/>
              </w:rPr>
              <w:t>单位</w:t>
            </w:r>
          </w:p>
        </w:tc>
        <w:tc>
          <w:tcPr>
            <w:tcW w:w="153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方正黑体_GBK" w:hAnsi="宋体"/>
                <w:color w:val="auto"/>
                <w:kern w:val="0"/>
                <w:sz w:val="28"/>
                <w:szCs w:val="28"/>
              </w:rPr>
            </w:pPr>
            <w:r>
              <w:rPr>
                <w:rFonts w:ascii="方正黑体_GBK" w:hAnsi="宋体"/>
                <w:color w:val="auto"/>
                <w:kern w:val="0"/>
                <w:sz w:val="28"/>
                <w:szCs w:val="28"/>
              </w:rPr>
              <w:t>备注</w:t>
            </w:r>
          </w:p>
        </w:tc>
      </w:tr>
      <w:tr>
        <w:tblPrEx>
          <w:tblLayout w:type="fixed"/>
          <w:tblCellMar>
            <w:top w:w="0" w:type="dxa"/>
            <w:left w:w="108" w:type="dxa"/>
            <w:bottom w:w="0" w:type="dxa"/>
            <w:right w:w="108" w:type="dxa"/>
          </w:tblCellMar>
        </w:tblPrEx>
        <w:trPr>
          <w:trHeight w:val="570" w:hRule="atLeast"/>
        </w:trPr>
        <w:tc>
          <w:tcPr>
            <w:tcW w:w="1111" w:type="dxa"/>
            <w:vMerge w:val="restart"/>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w:t>
            </w:r>
          </w:p>
        </w:tc>
        <w:tc>
          <w:tcPr>
            <w:tcW w:w="2683" w:type="dxa"/>
            <w:vMerge w:val="restart"/>
            <w:tcBorders>
              <w:top w:val="single" w:color="auto" w:sz="4" w:space="0"/>
              <w:left w:val="single" w:color="auto" w:sz="4" w:space="0"/>
              <w:bottom w:val="single" w:color="auto" w:sz="4" w:space="0"/>
              <w:right w:val="nil"/>
            </w:tcBorders>
            <w:vAlign w:val="center"/>
          </w:tcPr>
          <w:p>
            <w:pPr>
              <w:widowControl/>
              <w:spacing w:line="320" w:lineRule="exact"/>
              <w:jc w:val="left"/>
              <w:rPr>
                <w:rFonts w:hint="eastAsia" w:ascii="方正仿宋_GBK" w:hAnsi="宋体"/>
                <w:color w:val="auto"/>
                <w:kern w:val="0"/>
              </w:rPr>
            </w:pPr>
            <w:r>
              <w:rPr>
                <w:rFonts w:ascii="方正仿宋_GBK" w:hAnsi="宋体"/>
                <w:color w:val="auto"/>
                <w:kern w:val="0"/>
              </w:rPr>
              <w:t>重组乙型肝炎疫苗</w:t>
            </w:r>
          </w:p>
        </w:tc>
        <w:tc>
          <w:tcPr>
            <w:tcW w:w="927" w:type="dxa"/>
            <w:vMerge w:val="restart"/>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10μg</w:t>
            </w:r>
          </w:p>
          <w:p>
            <w:pPr>
              <w:widowControl/>
              <w:spacing w:line="320" w:lineRule="exact"/>
              <w:jc w:val="center"/>
              <w:rPr>
                <w:rFonts w:ascii="方正仿宋_GBK" w:hAnsi="宋体"/>
                <w:color w:val="auto"/>
                <w:kern w:val="0"/>
              </w:rPr>
            </w:pP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570" w:hRule="atLeast"/>
        </w:trPr>
        <w:tc>
          <w:tcPr>
            <w:tcW w:w="1111" w:type="dxa"/>
            <w:vMerge w:val="continue"/>
            <w:tcBorders>
              <w:top w:val="single" w:color="auto" w:sz="4" w:space="0"/>
              <w:left w:val="single" w:color="auto" w:sz="4" w:space="0"/>
              <w:bottom w:val="single" w:color="auto" w:sz="4" w:space="0"/>
              <w:right w:val="nil"/>
            </w:tcBorders>
            <w:vAlign w:val="center"/>
          </w:tcPr>
          <w:p>
            <w:pPr>
              <w:widowControl/>
              <w:spacing w:line="320" w:lineRule="exact"/>
              <w:jc w:val="center"/>
              <w:rPr>
                <w:rFonts w:ascii="方正仿宋_GBK" w:hAnsi="宋体"/>
                <w:color w:val="auto"/>
                <w:kern w:val="0"/>
              </w:rPr>
            </w:pPr>
          </w:p>
        </w:tc>
        <w:tc>
          <w:tcPr>
            <w:tcW w:w="2683" w:type="dxa"/>
            <w:vMerge w:val="continue"/>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p>
        </w:tc>
        <w:tc>
          <w:tcPr>
            <w:tcW w:w="927" w:type="dxa"/>
            <w:vMerge w:val="continue"/>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20μg</w:t>
            </w:r>
          </w:p>
          <w:p>
            <w:pPr>
              <w:widowControl/>
              <w:spacing w:line="320" w:lineRule="exact"/>
              <w:jc w:val="center"/>
              <w:rPr>
                <w:rFonts w:ascii="方正仿宋_GBK" w:hAnsi="宋体"/>
                <w:color w:val="auto"/>
                <w:kern w:val="0"/>
              </w:rPr>
            </w:pP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772" w:hRule="atLeast"/>
        </w:trPr>
        <w:tc>
          <w:tcPr>
            <w:tcW w:w="1111" w:type="dxa"/>
            <w:vMerge w:val="continue"/>
            <w:tcBorders>
              <w:top w:val="single" w:color="auto" w:sz="4" w:space="0"/>
              <w:left w:val="single" w:color="auto" w:sz="4" w:space="0"/>
              <w:bottom w:val="single" w:color="auto" w:sz="4" w:space="0"/>
              <w:right w:val="nil"/>
            </w:tcBorders>
            <w:vAlign w:val="center"/>
          </w:tcPr>
          <w:p>
            <w:pPr>
              <w:widowControl/>
              <w:spacing w:line="320" w:lineRule="exact"/>
              <w:jc w:val="center"/>
              <w:rPr>
                <w:rFonts w:ascii="方正仿宋_GBK" w:hAnsi="宋体"/>
                <w:color w:val="auto"/>
                <w:kern w:val="0"/>
              </w:rPr>
            </w:pPr>
          </w:p>
        </w:tc>
        <w:tc>
          <w:tcPr>
            <w:tcW w:w="2683" w:type="dxa"/>
            <w:vMerge w:val="continue"/>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p>
        </w:tc>
        <w:tc>
          <w:tcPr>
            <w:tcW w:w="927" w:type="dxa"/>
            <w:vMerge w:val="continue"/>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60μg</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285"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2</w:t>
            </w:r>
          </w:p>
          <w:p>
            <w:pPr>
              <w:widowControl/>
              <w:spacing w:line="320" w:lineRule="exact"/>
              <w:jc w:val="center"/>
              <w:rPr>
                <w:rFonts w:hint="eastAsia" w:ascii="方正仿宋_GBK" w:hAnsi="宋体"/>
                <w:color w:val="auto"/>
                <w:kern w:val="0"/>
              </w:rPr>
            </w:pP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腮腺炎减毒活疫苗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570" w:hRule="atLeast"/>
        </w:trPr>
        <w:tc>
          <w:tcPr>
            <w:tcW w:w="1111" w:type="dxa"/>
            <w:vMerge w:val="restart"/>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3</w:t>
            </w:r>
          </w:p>
        </w:tc>
        <w:tc>
          <w:tcPr>
            <w:tcW w:w="2683" w:type="dxa"/>
            <w:vMerge w:val="restart"/>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冻干人用狂犬病疫苗（vero细胞）</w:t>
            </w:r>
          </w:p>
          <w:p>
            <w:pPr>
              <w:widowControl/>
              <w:spacing w:line="320" w:lineRule="exact"/>
              <w:jc w:val="left"/>
              <w:rPr>
                <w:rFonts w:ascii="方正仿宋_GBK" w:hAnsi="宋体"/>
                <w:color w:val="auto"/>
                <w:kern w:val="0"/>
              </w:rPr>
            </w:pPr>
          </w:p>
        </w:tc>
        <w:tc>
          <w:tcPr>
            <w:tcW w:w="927" w:type="dxa"/>
            <w:vMerge w:val="restart"/>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p>
            <w:pPr>
              <w:widowControl/>
              <w:spacing w:line="320" w:lineRule="exact"/>
              <w:jc w:val="left"/>
              <w:rPr>
                <w:rFonts w:ascii="方正仿宋_GBK" w:hAnsi="宋体"/>
                <w:color w:val="auto"/>
                <w:kern w:val="0"/>
              </w:rPr>
            </w:pPr>
          </w:p>
        </w:tc>
        <w:tc>
          <w:tcPr>
            <w:tcW w:w="11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宋体"/>
                <w:color w:val="auto"/>
                <w:kern w:val="0"/>
              </w:rPr>
            </w:pPr>
            <w:r>
              <w:rPr>
                <w:rFonts w:hint="eastAsia" w:ascii="方正仿宋_GBK" w:hAnsi="宋体"/>
                <w:color w:val="auto"/>
                <w:kern w:val="0"/>
              </w:rPr>
              <w:t>4针次</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p>
        </w:tc>
      </w:tr>
      <w:tr>
        <w:tblPrEx>
          <w:tblLayout w:type="fixed"/>
          <w:tblCellMar>
            <w:top w:w="0" w:type="dxa"/>
            <w:left w:w="108" w:type="dxa"/>
            <w:bottom w:w="0" w:type="dxa"/>
            <w:right w:w="108" w:type="dxa"/>
          </w:tblCellMar>
        </w:tblPrEx>
        <w:trPr>
          <w:trHeight w:val="570" w:hRule="atLeast"/>
        </w:trPr>
        <w:tc>
          <w:tcPr>
            <w:tcW w:w="1111" w:type="dxa"/>
            <w:vMerge w:val="continue"/>
            <w:tcBorders>
              <w:top w:val="single" w:color="auto" w:sz="4" w:space="0"/>
              <w:left w:val="single" w:color="auto" w:sz="4" w:space="0"/>
              <w:bottom w:val="single" w:color="auto" w:sz="4" w:space="0"/>
              <w:right w:val="nil"/>
            </w:tcBorders>
            <w:vAlign w:val="center"/>
          </w:tcPr>
          <w:p>
            <w:pPr>
              <w:widowControl/>
              <w:spacing w:line="320" w:lineRule="exact"/>
              <w:jc w:val="center"/>
              <w:rPr>
                <w:rFonts w:ascii="方正仿宋_GBK" w:hAnsi="宋体"/>
                <w:color w:val="auto"/>
                <w:kern w:val="0"/>
              </w:rPr>
            </w:pPr>
          </w:p>
        </w:tc>
        <w:tc>
          <w:tcPr>
            <w:tcW w:w="2683" w:type="dxa"/>
            <w:vMerge w:val="continue"/>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p>
        </w:tc>
        <w:tc>
          <w:tcPr>
            <w:tcW w:w="927" w:type="dxa"/>
            <w:vMerge w:val="continue"/>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p>
        </w:tc>
        <w:tc>
          <w:tcPr>
            <w:tcW w:w="11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宋体"/>
                <w:color w:val="auto"/>
                <w:kern w:val="0"/>
              </w:rPr>
            </w:pPr>
            <w:r>
              <w:rPr>
                <w:rFonts w:hint="eastAsia" w:ascii="方正仿宋_GBK" w:hAnsi="宋体"/>
                <w:color w:val="auto"/>
                <w:kern w:val="0"/>
              </w:rPr>
              <w:t>5针次</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p>
        </w:tc>
      </w:tr>
      <w:tr>
        <w:tblPrEx>
          <w:tblLayout w:type="fixed"/>
          <w:tblCellMar>
            <w:top w:w="0" w:type="dxa"/>
            <w:left w:w="108" w:type="dxa"/>
            <w:bottom w:w="0" w:type="dxa"/>
            <w:right w:w="108" w:type="dxa"/>
          </w:tblCellMar>
        </w:tblPrEx>
        <w:trPr>
          <w:trHeight w:val="570"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4</w:t>
            </w: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冻干人用狂犬病疫苗（人二倍体细胞）</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1ml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p>
        </w:tc>
      </w:tr>
      <w:tr>
        <w:tblPrEx>
          <w:tblLayout w:type="fixed"/>
          <w:tblCellMar>
            <w:top w:w="0" w:type="dxa"/>
            <w:left w:w="108" w:type="dxa"/>
            <w:bottom w:w="0" w:type="dxa"/>
            <w:right w:w="108" w:type="dxa"/>
          </w:tblCellMar>
        </w:tblPrEx>
        <w:trPr>
          <w:trHeight w:val="285"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5</w:t>
            </w:r>
          </w:p>
          <w:p>
            <w:pPr>
              <w:widowControl/>
              <w:spacing w:line="320" w:lineRule="exact"/>
              <w:jc w:val="center"/>
              <w:rPr>
                <w:rFonts w:hint="eastAsia" w:ascii="方正仿宋_GBK" w:hAnsi="宋体"/>
                <w:color w:val="auto"/>
                <w:kern w:val="0"/>
              </w:rPr>
            </w:pP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乙型脑炎灭活疫苗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570"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ind w:firstLine="630" w:firstLineChars="300"/>
              <w:jc w:val="left"/>
              <w:rPr>
                <w:rFonts w:hint="eastAsia" w:ascii="方正仿宋_GBK" w:hAnsi="宋体"/>
                <w:color w:val="auto"/>
                <w:kern w:val="0"/>
              </w:rPr>
            </w:pPr>
            <w:r>
              <w:rPr>
                <w:rFonts w:hint="eastAsia" w:ascii="方正仿宋_GBK" w:hAnsi="宋体"/>
                <w:color w:val="auto"/>
                <w:kern w:val="0"/>
              </w:rPr>
              <w:t>6</w:t>
            </w: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ACYW135群脑膜炎球菌多糖疫苗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570"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7</w:t>
            </w: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A群C群脑膜炎球菌多糖结合疫苗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855"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8</w:t>
            </w: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AC群脑膜炎球菌（结合）b型流感嗜血杆菌（结合）联合疫苗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570" w:hRule="atLeast"/>
        </w:trPr>
        <w:tc>
          <w:tcPr>
            <w:tcW w:w="1111" w:type="dxa"/>
            <w:tcBorders>
              <w:top w:val="single" w:color="auto" w:sz="4" w:space="0"/>
              <w:left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9</w:t>
            </w:r>
          </w:p>
        </w:tc>
        <w:tc>
          <w:tcPr>
            <w:tcW w:w="2683" w:type="dxa"/>
            <w:tcBorders>
              <w:top w:val="single" w:color="auto" w:sz="4" w:space="0"/>
              <w:left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b型流感嗜血杆菌结合疫苗</w:t>
            </w:r>
          </w:p>
        </w:tc>
        <w:tc>
          <w:tcPr>
            <w:tcW w:w="927" w:type="dxa"/>
            <w:tcBorders>
              <w:top w:val="single" w:color="auto" w:sz="4" w:space="0"/>
              <w:left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10μg:0.5ml</w:t>
            </w:r>
          </w:p>
        </w:tc>
        <w:tc>
          <w:tcPr>
            <w:tcW w:w="1204" w:type="dxa"/>
            <w:tcBorders>
              <w:top w:val="single" w:color="auto" w:sz="4" w:space="0"/>
              <w:left w:val="nil"/>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855"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10</w:t>
            </w: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吸附无细胞百白破灭活脊髓灰质炎和b型流感嗜血杆菌（结合）联合疫苗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724"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11</w:t>
            </w: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吸附破伤风疫苗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570"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12</w:t>
            </w: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肠道病毒71型灭活疫苗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p>
        </w:tc>
      </w:tr>
      <w:tr>
        <w:tblPrEx>
          <w:tblLayout w:type="fixed"/>
          <w:tblCellMar>
            <w:top w:w="0" w:type="dxa"/>
            <w:left w:w="108" w:type="dxa"/>
            <w:bottom w:w="0" w:type="dxa"/>
            <w:right w:w="108" w:type="dxa"/>
          </w:tblCellMar>
        </w:tblPrEx>
        <w:trPr>
          <w:trHeight w:val="285"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13</w:t>
            </w:r>
          </w:p>
          <w:p>
            <w:pPr>
              <w:widowControl/>
              <w:spacing w:line="320" w:lineRule="exact"/>
              <w:jc w:val="left"/>
              <w:rPr>
                <w:rFonts w:ascii="方正仿宋_GBK" w:hAnsi="宋体"/>
                <w:color w:val="auto"/>
                <w:kern w:val="0"/>
              </w:rPr>
            </w:pP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水痘减毒活疫苗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p>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p>
        </w:tc>
      </w:tr>
      <w:tr>
        <w:tblPrEx>
          <w:tblLayout w:type="fixed"/>
          <w:tblCellMar>
            <w:top w:w="0" w:type="dxa"/>
            <w:left w:w="108" w:type="dxa"/>
            <w:bottom w:w="0" w:type="dxa"/>
            <w:right w:w="108" w:type="dxa"/>
          </w:tblCellMar>
        </w:tblPrEx>
        <w:trPr>
          <w:trHeight w:val="285" w:hRule="atLeast"/>
        </w:trPr>
        <w:tc>
          <w:tcPr>
            <w:tcW w:w="1111"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14</w:t>
            </w:r>
          </w:p>
        </w:tc>
        <w:tc>
          <w:tcPr>
            <w:tcW w:w="2683"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口服轮状病毒活疫苗</w:t>
            </w:r>
          </w:p>
        </w:tc>
        <w:tc>
          <w:tcPr>
            <w:tcW w:w="927"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方正仿宋_GBK" w:hAnsi="宋体"/>
                <w:color w:val="auto"/>
                <w:kern w:val="0"/>
              </w:rPr>
            </w:pPr>
            <w:r>
              <w:rPr>
                <w:rFonts w:ascii="方正仿宋_GBK" w:hAnsi="宋体"/>
                <w:color w:val="auto"/>
                <w:kern w:val="0"/>
              </w:rPr>
              <w:t>口服剂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3ml</w:t>
            </w:r>
          </w:p>
        </w:tc>
        <w:tc>
          <w:tcPr>
            <w:tcW w:w="120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640" w:hRule="atLeast"/>
        </w:trPr>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15</w:t>
            </w:r>
          </w:p>
        </w:tc>
        <w:tc>
          <w:tcPr>
            <w:tcW w:w="2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hint="eastAsia" w:ascii="方正仿宋_GBK" w:hAnsi="宋体"/>
                <w:color w:val="auto"/>
                <w:kern w:val="0"/>
              </w:rPr>
              <w:t>二价HPV疫苗</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ascii="方正仿宋_GBK" w:hAnsi="宋体"/>
                <w:color w:val="auto"/>
                <w:kern w:val="0"/>
              </w:rPr>
              <w:t>0.5m</w:t>
            </w:r>
            <w:r>
              <w:rPr>
                <w:rFonts w:hint="eastAsia" w:ascii="方正仿宋_GBK" w:hAnsi="宋体"/>
                <w:color w:val="auto"/>
                <w:kern w:val="0"/>
              </w:rPr>
              <w:t>l</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支</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p>
        </w:tc>
      </w:tr>
      <w:tr>
        <w:tblPrEx>
          <w:tblLayout w:type="fixed"/>
          <w:tblCellMar>
            <w:top w:w="0" w:type="dxa"/>
            <w:left w:w="108" w:type="dxa"/>
            <w:bottom w:w="0" w:type="dxa"/>
            <w:right w:w="108" w:type="dxa"/>
          </w:tblCellMar>
        </w:tblPrEx>
        <w:trPr>
          <w:trHeight w:val="640" w:hRule="atLeast"/>
        </w:trPr>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16</w:t>
            </w:r>
          </w:p>
        </w:tc>
        <w:tc>
          <w:tcPr>
            <w:tcW w:w="2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方正仿宋_GBK" w:hAnsi="宋体"/>
                <w:color w:val="auto"/>
                <w:kern w:val="0"/>
              </w:rPr>
            </w:pPr>
            <w:r>
              <w:rPr>
                <w:rFonts w:hint="eastAsia" w:ascii="方正仿宋_GBK" w:hAnsi="宋体"/>
                <w:color w:val="auto"/>
                <w:kern w:val="0"/>
              </w:rPr>
              <w:t>四价HPV疫苗</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ascii="方正仿宋_GBK" w:hAnsi="宋体"/>
                <w:color w:val="auto"/>
                <w:kern w:val="0"/>
              </w:rPr>
              <w:t>0.5m</w:t>
            </w:r>
            <w:r>
              <w:rPr>
                <w:rFonts w:hint="eastAsia" w:ascii="方正仿宋_GBK" w:hAnsi="宋体"/>
                <w:color w:val="auto"/>
                <w:kern w:val="0"/>
              </w:rPr>
              <w:t>l</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支</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p>
        </w:tc>
      </w:tr>
      <w:tr>
        <w:tblPrEx>
          <w:tblLayout w:type="fixed"/>
          <w:tblCellMar>
            <w:top w:w="0" w:type="dxa"/>
            <w:left w:w="108" w:type="dxa"/>
            <w:bottom w:w="0" w:type="dxa"/>
            <w:right w:w="108" w:type="dxa"/>
          </w:tblCellMar>
        </w:tblPrEx>
        <w:trPr>
          <w:trHeight w:val="640" w:hRule="atLeast"/>
        </w:trPr>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17</w:t>
            </w:r>
          </w:p>
        </w:tc>
        <w:tc>
          <w:tcPr>
            <w:tcW w:w="2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方正仿宋_GBK" w:hAnsi="宋体"/>
                <w:color w:val="auto"/>
                <w:kern w:val="0"/>
              </w:rPr>
            </w:pPr>
            <w:r>
              <w:rPr>
                <w:rFonts w:hint="eastAsia" w:ascii="方正仿宋_GBK" w:hAnsi="宋体"/>
                <w:color w:val="auto"/>
                <w:kern w:val="0"/>
              </w:rPr>
              <w:t>13价肺炎结合疫苗</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ascii="方正仿宋_GBK" w:hAnsi="宋体"/>
                <w:color w:val="auto"/>
                <w:kern w:val="0"/>
              </w:rPr>
              <w:t>0.5m</w:t>
            </w:r>
            <w:r>
              <w:rPr>
                <w:rFonts w:hint="eastAsia" w:ascii="方正仿宋_GBK" w:hAnsi="宋体"/>
                <w:color w:val="auto"/>
                <w:kern w:val="0"/>
              </w:rPr>
              <w:t>l</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支</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p>
        </w:tc>
      </w:tr>
      <w:tr>
        <w:tblPrEx>
          <w:tblLayout w:type="fixed"/>
          <w:tblCellMar>
            <w:top w:w="0" w:type="dxa"/>
            <w:left w:w="108" w:type="dxa"/>
            <w:bottom w:w="0" w:type="dxa"/>
            <w:right w:w="108" w:type="dxa"/>
          </w:tblCellMar>
        </w:tblPrEx>
        <w:trPr>
          <w:trHeight w:val="285" w:hRule="atLeast"/>
        </w:trPr>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hint="eastAsia" w:ascii="方正仿宋_GBK" w:hAnsi="宋体"/>
                <w:color w:val="auto"/>
                <w:kern w:val="0"/>
              </w:rPr>
              <w:t>18</w:t>
            </w:r>
          </w:p>
        </w:tc>
        <w:tc>
          <w:tcPr>
            <w:tcW w:w="2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ascii="方正仿宋_GBK" w:hAnsi="宋体"/>
                <w:color w:val="auto"/>
                <w:kern w:val="0"/>
              </w:rPr>
              <w:t>23价肺炎球菌多糖疫苗</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285" w:hRule="atLeast"/>
        </w:trPr>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19</w:t>
            </w:r>
          </w:p>
          <w:p>
            <w:pPr>
              <w:widowControl/>
              <w:spacing w:line="320" w:lineRule="exact"/>
              <w:jc w:val="center"/>
              <w:rPr>
                <w:rFonts w:hint="eastAsia" w:ascii="方正仿宋_GBK" w:hAnsi="宋体"/>
                <w:color w:val="auto"/>
                <w:kern w:val="0"/>
              </w:rPr>
            </w:pPr>
          </w:p>
        </w:tc>
        <w:tc>
          <w:tcPr>
            <w:tcW w:w="2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hint="eastAsia" w:ascii="方正仿宋_GBK" w:hAnsi="宋体"/>
                <w:color w:val="auto"/>
                <w:kern w:val="0"/>
              </w:rPr>
              <w:t>流感疫苗（亚单位）</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0.5ml</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支</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p>
        </w:tc>
      </w:tr>
      <w:tr>
        <w:tblPrEx>
          <w:tblLayout w:type="fixed"/>
          <w:tblCellMar>
            <w:top w:w="0" w:type="dxa"/>
            <w:left w:w="108" w:type="dxa"/>
            <w:bottom w:w="0" w:type="dxa"/>
            <w:right w:w="108" w:type="dxa"/>
          </w:tblCellMar>
        </w:tblPrEx>
        <w:trPr>
          <w:trHeight w:val="285" w:hRule="atLeast"/>
        </w:trPr>
        <w:tc>
          <w:tcPr>
            <w:tcW w:w="11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宋体"/>
                <w:color w:val="auto"/>
                <w:kern w:val="0"/>
              </w:rPr>
            </w:pPr>
            <w:r>
              <w:rPr>
                <w:rFonts w:hint="eastAsia" w:ascii="方正仿宋_GBK" w:hAnsi="宋体"/>
                <w:color w:val="auto"/>
                <w:kern w:val="0"/>
              </w:rPr>
              <w:t>20</w:t>
            </w:r>
          </w:p>
        </w:tc>
        <w:tc>
          <w:tcPr>
            <w:tcW w:w="26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方正仿宋_GBK" w:hAnsi="宋体"/>
                <w:color w:val="auto"/>
                <w:kern w:val="0"/>
              </w:rPr>
            </w:pPr>
            <w:r>
              <w:rPr>
                <w:rFonts w:ascii="方正仿宋_GBK" w:hAnsi="宋体"/>
                <w:color w:val="auto"/>
                <w:kern w:val="0"/>
              </w:rPr>
              <w:t>流感病毒裂解疫苗</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p>
            <w:pPr>
              <w:widowControl/>
              <w:spacing w:line="320" w:lineRule="exact"/>
              <w:jc w:val="left"/>
              <w:rPr>
                <w:rFonts w:ascii="方正仿宋_GBK" w:hAnsi="宋体"/>
                <w:color w:val="auto"/>
                <w:kern w:val="0"/>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0.25ml</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r>
        <w:tblPrEx>
          <w:tblLayout w:type="fixed"/>
          <w:tblCellMar>
            <w:top w:w="0" w:type="dxa"/>
            <w:left w:w="108" w:type="dxa"/>
            <w:bottom w:w="0" w:type="dxa"/>
            <w:right w:w="108" w:type="dxa"/>
          </w:tblCellMar>
        </w:tblPrEx>
        <w:trPr>
          <w:trHeight w:val="285" w:hRule="atLeast"/>
        </w:trPr>
        <w:tc>
          <w:tcPr>
            <w:tcW w:w="1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p>
        </w:tc>
        <w:tc>
          <w:tcPr>
            <w:tcW w:w="26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方正仿宋_GBK" w:hAnsi="宋体"/>
                <w:color w:val="auto"/>
                <w:kern w:val="0"/>
              </w:rPr>
            </w:pPr>
            <w:r>
              <w:rPr>
                <w:rFonts w:ascii="方正仿宋_GBK" w:hAnsi="宋体"/>
                <w:color w:val="auto"/>
                <w:kern w:val="0"/>
              </w:rPr>
              <w:t>注射剂</w:t>
            </w:r>
          </w:p>
          <w:p>
            <w:pPr>
              <w:widowControl/>
              <w:spacing w:line="320" w:lineRule="exact"/>
              <w:jc w:val="left"/>
              <w:rPr>
                <w:rFonts w:ascii="方正仿宋_GBK" w:hAnsi="宋体"/>
                <w:color w:val="auto"/>
                <w:kern w:val="0"/>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0.5ml</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rPr>
            </w:pPr>
            <w:r>
              <w:rPr>
                <w:rFonts w:ascii="方正仿宋_GBK" w:hAnsi="宋体"/>
                <w:color w:val="auto"/>
                <w:kern w:val="0"/>
              </w:rPr>
              <w:t>支</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color w:val="auto"/>
                <w:kern w:val="0"/>
                <w:sz w:val="28"/>
                <w:szCs w:val="28"/>
              </w:rPr>
            </w:pPr>
            <w:r>
              <w:rPr>
                <w:rFonts w:ascii="方正仿宋_GBK" w:hAnsi="宋体"/>
                <w:color w:val="auto"/>
                <w:kern w:val="0"/>
                <w:sz w:val="28"/>
                <w:szCs w:val="28"/>
              </w:rPr>
              <w:t>　</w:t>
            </w:r>
          </w:p>
        </w:tc>
      </w:tr>
    </w:tbl>
    <w:p>
      <w:pPr>
        <w:rPr>
          <w:rFonts w:ascii="仿宋" w:hAnsi="仿宋" w:eastAsia="仿宋" w:cs="仿宋"/>
          <w:color w:val="auto"/>
          <w:sz w:val="30"/>
          <w:szCs w:val="30"/>
        </w:rPr>
        <w:sectPr>
          <w:pgSz w:w="11906" w:h="16838"/>
          <w:pgMar w:top="1440" w:right="1800" w:bottom="1440" w:left="180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93E42"/>
    <w:rsid w:val="10993E4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icrosoft Himalaya"/>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2018-10-09T07:44:00Z</dcterms:created>
  <dc:creator>Administrator</dc:creator>
  <cp:lastModifiedBy>Administrator</cp:lastModifiedBy>
  <dcterms:modified xsi:type="dcterms:W3CDTF">2018-10-09T07:45:26Z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